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Договор займа №823-3/ЗМ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 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г</w:t>
      </w: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.М</w:t>
      </w:r>
      <w:proofErr w:type="gram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осква                                                                                                             "30" августа 2013 г.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Акционерное общество "</w:t>
      </w:r>
      <w:proofErr w:type="spell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Крепежмаш</w:t>
      </w:r>
      <w:proofErr w:type="spell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", именуемое в дальнейшем "Заемщик", в лице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Генерального директора </w:t>
      </w:r>
      <w:proofErr w:type="spell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Шаповалова</w:t>
      </w:r>
      <w:proofErr w:type="spell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Игоря Анатольевича, действующего на основании Учредительных документов и прав, предоставленных по должности, с одной стороны, и гражданин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proofErr w:type="spell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Соловъев</w:t>
      </w:r>
      <w:proofErr w:type="spell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Андрей Сергеевич, именуемый в дальнейшем "Займодавец", личность удостоверяется паспортом: серия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4501 № 126875, выдан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05 августа 2001 г. ОВД Красная Пресня, проживающий по адресу: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123423  г. Москва пр.</w:t>
      </w:r>
      <w:proofErr w:type="gram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Маршала Жукова дом 15 кв. ХХ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с целью привлечения средств под экономическую программу Заемщика" заключили настоящий договор займа, далее "Договор", на основании Гражданского кодекса Российской Федерации, о предоставлении Заемщику денежных средств на следующих условиях: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I. Права и обязанности сторон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1.1. </w:t>
      </w: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Заемщик принимает у Займодавца денежную сумму в размере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5000000 (пять миллионов)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рублей на мероприятия, предусмотренные Уставной деятельностью и Экономической программой и технико-экономическим обоснованием финансовой деятельности Заемщика, и при этом обязуется: использовать </w:t>
      </w:r>
      <w:proofErr w:type="spell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займ</w:t>
      </w:r>
      <w:proofErr w:type="spell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 соответствии с его целевым назначением, обеспечить своевременный возврат денежной суммы в сроки, предусмотренные данным договором; выплатить денежное вознаграждение за использование вышеназванной денежной суммы, предусмотренной данным Договором</w:t>
      </w:r>
      <w:proofErr w:type="gramEnd"/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1.2. Займодавец вправе при этом: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- в случае досрочного расторжения Договора по инициативе Займодавца Заемщик возвращает Займодавцу денежные средства в течение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30 (тридцати)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календарных дней с момента получения от Займодавца письменного уведомления о расторжении Договора.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2. Сроки действия договора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2.1. Договор вступает в силу в момент передачи денег и подписания сторонами и действует до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"30" августа 2014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г.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2.2. Сроки действия данного Договора могут быть пролонгированы по соглашению сторон на новых условиях.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3. Особые условия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3.1. За предоставление займа Заемщик выплачивает Займодавцу денежное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годовое вознаграждение в размере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10% от суммы вклада.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3.2. Выплата денежного вознаграждения Займодавцу производится ежемесячно </w:t>
      </w: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равными</w:t>
      </w:r>
      <w:proofErr w:type="gram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платежи.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3.3. Заемщик вправе привлекать к использованию займа по назначению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третьих лиц по своему усмотрению.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3.4. По желанию Займодавца права по данному Договору могут быть переданы третьим лицам при условии обязательного уведомления Заемщика в течение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10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дней с момента передачи прав в соответствии с действующим законодательством РФ.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3.5. Все изменения и дополнения к данному Договору оформляется в письменной форме путем подписания дополнительного соглашения со ссылкой на данный Договор, подписываются обеими сторонами.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3.6. В случае изменения местонахождения Заемщик обязуется уведомить Займодавца через средства любым удобным для него способом.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lastRenderedPageBreak/>
        <w:t>3.8. Если спор между сторонами не будет урегулирован, то он разрешается в порядке, установленном законодательством.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3.9. Данный Договор заключен </w:t>
      </w: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в двух экземплярах на двух страницах по одному для каждой из сторон</w:t>
      </w:r>
      <w:proofErr w:type="gram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, причем каждый экземпляр имеет одинаковую юридическую силу.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4. Форс-мажор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4.1.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настоящего Договора на время действия таких обстоятельств либо их последствий.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Стороны договорились и отнесли к обстоятельствам форс-мажора следующее: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- война и военные действия, стихийные или иные </w:t>
      </w: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бедствия</w:t>
      </w:r>
      <w:proofErr w:type="gram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происходящие в районах официально признанных таковыми, действия правительства, запрещающих деятельность, включающую в себя предмет Договора.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4.2. О наступлении и прекращении форс-мажорных обстоятельств, о предполагаемых сроках их действия немедленно в письменном виде за подписью уполномоченных на это лиц.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4.3. </w:t>
      </w:r>
      <w:proofErr w:type="gram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Сторона, для которой создались обстоятельства, принятые в настоящем Договоре как форс-мажорные, обязана предпринять все зависящие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находящихся в распоряжении сторон обязана покрыть эти убытки другой стороне</w:t>
      </w:r>
      <w:proofErr w:type="gramEnd"/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5. Гарантии исполнения договора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5.1. По взаимному согласию сторон, гарантией исполнения Договора является страхование займа страховой компанией "</w:t>
      </w:r>
      <w:proofErr w:type="spellStart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Интерсити</w:t>
      </w:r>
      <w:proofErr w:type="spellEnd"/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" в размере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5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% от суммы займа.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5.2. Оплата страхования производится Заемщиком в размере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3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%, Займодавцем в размере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2</w:t>
      </w:r>
      <w:r w:rsidRPr="0049766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% от суммы займа.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6. Ответственность сторон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sz w:val="18"/>
          <w:szCs w:val="18"/>
          <w:lang w:eastAsia="ru-RU"/>
        </w:rPr>
        <w:t>6.1. Ответственность сторон наступает в соответствии с действующим законодательством Российской Федерации.</w:t>
      </w:r>
    </w:p>
    <w:p w:rsidR="00497665" w:rsidRPr="00497665" w:rsidRDefault="00497665" w:rsidP="00497665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97665">
        <w:rPr>
          <w:rFonts w:ascii="Trebuchet MS" w:eastAsia="Times New Roman" w:hAnsi="Trebuchet MS" w:cs="Times New Roman"/>
          <w:b/>
          <w:bCs/>
          <w:sz w:val="18"/>
          <w:lang w:eastAsia="ru-RU"/>
        </w:rPr>
        <w:t>7. Реквизиты сторон</w:t>
      </w:r>
    </w:p>
    <w:tbl>
      <w:tblPr>
        <w:tblW w:w="12435" w:type="dxa"/>
        <w:tblInd w:w="-19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7"/>
        <w:gridCol w:w="6218"/>
      </w:tblGrid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Заимодавец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Заемщик</w:t>
            </w:r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proofErr w:type="spellStart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Соловъев</w:t>
            </w:r>
            <w:proofErr w:type="spellEnd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Андрей Сергеевич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Крепежмаш</w:t>
            </w:r>
            <w:proofErr w:type="spellEnd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123423 г. Москва пр. Маршала Жукова дом 15 кв. ХХ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осква ул. Красина, дом 254 </w:t>
            </w:r>
            <w:proofErr w:type="spellStart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оф.ХХ</w:t>
            </w:r>
            <w:proofErr w:type="spellEnd"/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Паспорт серия 4501 № 126875, выдан 05 августа 2001 г</w:t>
            </w:r>
            <w:proofErr w:type="gramStart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ВД Красная Пресня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Телефон (495)000-00-00</w:t>
            </w:r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proofErr w:type="spellStart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Соловъев</w:t>
            </w:r>
            <w:proofErr w:type="spellEnd"/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А.С. (подпись)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Расчетный счет № 975ХХХХХХХХХХХХ36</w:t>
            </w:r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МФО 46ХХХХ25</w:t>
            </w:r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Шаповалов И.А. (подпись)</w:t>
            </w:r>
          </w:p>
        </w:tc>
      </w:tr>
      <w:tr w:rsidR="00497665" w:rsidRPr="00497665" w:rsidTr="00497665"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97665" w:rsidRPr="00497665" w:rsidRDefault="00497665" w:rsidP="00497665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М.П.</w:t>
            </w:r>
            <w:r w:rsidRPr="0049766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7F1345" w:rsidRPr="00497665" w:rsidRDefault="007F1345"/>
    <w:sectPr w:rsidR="007F1345" w:rsidRPr="00497665" w:rsidSect="007F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665"/>
    <w:rsid w:val="00497665"/>
    <w:rsid w:val="007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665"/>
    <w:rPr>
      <w:b/>
      <w:bCs/>
    </w:rPr>
  </w:style>
  <w:style w:type="character" w:customStyle="1" w:styleId="apple-converted-space">
    <w:name w:val="apple-converted-space"/>
    <w:basedOn w:val="a0"/>
    <w:rsid w:val="00497665"/>
  </w:style>
  <w:style w:type="paragraph" w:styleId="a5">
    <w:name w:val="Normal (Web)"/>
    <w:basedOn w:val="a"/>
    <w:uiPriority w:val="99"/>
    <w:unhideWhenUsed/>
    <w:rsid w:val="0049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4659</Characters>
  <Application>Microsoft Office Word</Application>
  <DocSecurity>0</DocSecurity>
  <Lines>89</Lines>
  <Paragraphs>53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2014-09-20T15:21:00Z</dcterms:created>
  <dcterms:modified xsi:type="dcterms:W3CDTF">2014-09-20T15:22:00Z</dcterms:modified>
</cp:coreProperties>
</file>